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400" w:lineRule="exact"/>
        <w:ind w:firstLine="643" w:firstLineChars="200"/>
        <w:jc w:val="center"/>
        <w:textAlignment w:val="auto"/>
        <w:rPr>
          <w:rFonts w:ascii="仿宋_GB2312" w:hAnsi="仿宋" w:eastAsia="仿宋_GB2312" w:cs="Times New Roman"/>
          <w:b/>
          <w:bCs/>
          <w:sz w:val="32"/>
          <w:szCs w:val="32"/>
        </w:rPr>
      </w:pPr>
    </w:p>
    <w:p>
      <w:pPr>
        <w:pageBreakBefore w:val="0"/>
        <w:widowControl w:val="0"/>
        <w:kinsoku/>
        <w:wordWrap/>
        <w:overflowPunct/>
        <w:topLinePunct w:val="0"/>
        <w:autoSpaceDE/>
        <w:autoSpaceDN/>
        <w:bidi w:val="0"/>
        <w:adjustRightInd/>
        <w:snapToGrid/>
        <w:ind w:firstLine="720" w:firstLineChars="200"/>
        <w:jc w:val="center"/>
        <w:textAlignment w:val="auto"/>
        <w:rPr>
          <w:rFonts w:hint="eastAsia" w:ascii="黑体" w:hAnsi="宋体" w:eastAsia="黑体" w:cs="黑体"/>
          <w:sz w:val="36"/>
          <w:szCs w:val="36"/>
          <w:lang w:eastAsia="zh-CN"/>
        </w:rPr>
      </w:pPr>
      <w:r>
        <w:rPr>
          <w:rFonts w:hint="eastAsia" w:ascii="黑体" w:hAnsi="宋体" w:eastAsia="黑体" w:cs="黑体"/>
          <w:sz w:val="36"/>
          <w:szCs w:val="36"/>
          <w:lang w:eastAsia="zh-CN"/>
        </w:rPr>
        <w:t>景德镇市体育局</w:t>
      </w:r>
      <w:r>
        <w:rPr>
          <w:rFonts w:hint="eastAsia" w:ascii="黑体" w:hAnsi="宋体" w:eastAsia="黑体" w:cs="黑体"/>
          <w:sz w:val="36"/>
          <w:szCs w:val="36"/>
          <w:lang w:val="en-US" w:eastAsia="zh-CN"/>
        </w:rPr>
        <w:t>2019</w:t>
      </w:r>
      <w:r>
        <w:rPr>
          <w:rFonts w:hint="eastAsia" w:ascii="黑体" w:hAnsi="宋体" w:eastAsia="黑体" w:cs="黑体"/>
          <w:sz w:val="36"/>
          <w:szCs w:val="36"/>
          <w:lang w:eastAsia="zh-CN"/>
        </w:rPr>
        <w:t>年部门预算编制说明</w:t>
      </w:r>
    </w:p>
    <w:p>
      <w:pPr>
        <w:pageBreakBefore w:val="0"/>
        <w:widowControl w:val="0"/>
        <w:kinsoku/>
        <w:wordWrap/>
        <w:overflowPunct/>
        <w:topLinePunct w:val="0"/>
        <w:autoSpaceDE/>
        <w:autoSpaceDN/>
        <w:bidi w:val="0"/>
        <w:adjustRightInd/>
        <w:snapToGrid/>
        <w:spacing w:before="240"/>
        <w:ind w:firstLine="643" w:firstLineChars="200"/>
        <w:jc w:val="center"/>
        <w:textAlignment w:val="auto"/>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pageBreakBefore w:val="0"/>
        <w:widowControl w:val="0"/>
        <w:kinsoku/>
        <w:wordWrap/>
        <w:overflowPunct/>
        <w:topLinePunct w:val="0"/>
        <w:autoSpaceDE/>
        <w:autoSpaceDN/>
        <w:bidi w:val="0"/>
        <w:adjustRightInd/>
        <w:snapToGrid/>
        <w:ind w:firstLine="640" w:firstLineChars="200"/>
        <w:textAlignment w:val="auto"/>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体育</w:t>
      </w:r>
      <w:r>
        <w:rPr>
          <w:rFonts w:hint="eastAsia" w:ascii="黑体" w:hAnsi="宋体" w:eastAsia="黑体" w:cs="黑体"/>
          <w:sz w:val="32"/>
          <w:szCs w:val="32"/>
        </w:rPr>
        <w:t>局概况</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pageBreakBefore w:val="0"/>
        <w:widowControl w:val="0"/>
        <w:kinsoku/>
        <w:wordWrap/>
        <w:overflowPunct/>
        <w:topLinePunct w:val="0"/>
        <w:autoSpaceDE/>
        <w:autoSpaceDN/>
        <w:bidi w:val="0"/>
        <w:adjustRightInd/>
        <w:snapToGrid/>
        <w:ind w:firstLine="640" w:firstLineChars="200"/>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体育局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一、2019年部门预算收支情况说明</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二、2019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“三公”经费预算情况说明</w:t>
      </w:r>
    </w:p>
    <w:p>
      <w:pPr>
        <w:pageBreakBefore w:val="0"/>
        <w:widowControl w:val="0"/>
        <w:kinsoku/>
        <w:wordWrap/>
        <w:overflowPunct/>
        <w:topLinePunct w:val="0"/>
        <w:autoSpaceDE/>
        <w:autoSpaceDN/>
        <w:bidi w:val="0"/>
        <w:adjustRightInd/>
        <w:snapToGrid/>
        <w:ind w:firstLine="640" w:firstLineChars="200"/>
        <w:textAlignment w:val="auto"/>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体育局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一、收支预算总表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pageBreakBefore w:val="0"/>
        <w:widowControl w:val="0"/>
        <w:kinsoku/>
        <w:wordWrap/>
        <w:overflowPunct/>
        <w:topLinePunct w:val="0"/>
        <w:autoSpaceDE/>
        <w:autoSpaceDN/>
        <w:bidi w:val="0"/>
        <w:adjustRightInd/>
        <w:snapToGrid/>
        <w:textAlignment w:val="auto"/>
        <w:rPr>
          <w:rFonts w:hint="eastAsia" w:ascii="黑体" w:hAnsi="宋体" w:eastAsia="黑体" w:cs="黑体"/>
          <w:sz w:val="32"/>
          <w:szCs w:val="32"/>
        </w:rPr>
      </w:pPr>
    </w:p>
    <w:p>
      <w:pPr>
        <w:pageBreakBefore w:val="0"/>
        <w:widowControl w:val="0"/>
        <w:kinsoku/>
        <w:wordWrap/>
        <w:overflowPunct/>
        <w:topLinePunct w:val="0"/>
        <w:autoSpaceDE/>
        <w:autoSpaceDN/>
        <w:bidi w:val="0"/>
        <w:adjustRightInd/>
        <w:snapToGrid/>
        <w:ind w:firstLine="1600" w:firstLineChars="500"/>
        <w:jc w:val="center"/>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体育局</w:t>
      </w:r>
      <w:r>
        <w:rPr>
          <w:rFonts w:hint="eastAsia" w:ascii="黑体" w:hAnsi="宋体" w:eastAsia="黑体" w:cs="黑体"/>
          <w:sz w:val="32"/>
          <w:szCs w:val="32"/>
        </w:rPr>
        <w:t>概况</w:t>
      </w:r>
    </w:p>
    <w:p>
      <w:pPr>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color w:val="auto"/>
          <w:sz w:val="32"/>
          <w:szCs w:val="32"/>
        </w:rPr>
      </w:pPr>
      <w:r>
        <w:rPr>
          <w:rFonts w:hint="eastAsia" w:ascii="仿宋_GB2312" w:hAnsi="宋体" w:eastAsia="仿宋_GB2312" w:cs="仿宋_GB2312"/>
          <w:color w:val="auto"/>
          <w:sz w:val="32"/>
          <w:szCs w:val="32"/>
          <w:lang w:eastAsia="zh-CN"/>
        </w:rPr>
        <w:t>景德镇市体育</w:t>
      </w:r>
      <w:r>
        <w:rPr>
          <w:rFonts w:hint="eastAsia" w:ascii="仿宋_GB2312" w:hAnsi="宋体" w:eastAsia="仿宋_GB2312" w:cs="仿宋_GB2312"/>
          <w:color w:val="auto"/>
          <w:sz w:val="32"/>
          <w:szCs w:val="32"/>
        </w:rPr>
        <w:t>局是市政府组成部门，主要职责是：</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（一）</w:t>
      </w:r>
      <w:r>
        <w:rPr>
          <w:rFonts w:hint="eastAsia" w:ascii="仿宋_GB2312" w:hAnsi="宋体" w:eastAsia="仿宋_GB2312" w:cs="仿宋_GB2312"/>
          <w:sz w:val="32"/>
          <w:szCs w:val="32"/>
        </w:rPr>
        <w:t>拟定全市体育发展和体育工作的有关政策、规定，并组织实施或监督实施。</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（二）</w:t>
      </w:r>
      <w:r>
        <w:rPr>
          <w:rFonts w:hint="eastAsia" w:ascii="仿宋_GB2312" w:hAnsi="宋体" w:eastAsia="仿宋_GB2312" w:cs="仿宋_GB2312"/>
          <w:sz w:val="32"/>
          <w:szCs w:val="32"/>
        </w:rPr>
        <w:t>指导和推动体育体制改革，制订体育发展战略，编制体育事业的中长期发展规划，并监督实施。</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（三）</w:t>
      </w:r>
      <w:r>
        <w:rPr>
          <w:rFonts w:hint="eastAsia" w:ascii="仿宋_GB2312" w:hAnsi="宋体" w:eastAsia="仿宋_GB2312" w:cs="仿宋_GB2312"/>
          <w:sz w:val="32"/>
          <w:szCs w:val="32"/>
        </w:rPr>
        <w:t>推行全民健身计划，指导全市群众性体育活动和工作，实施国家体育锻炼标准，开展国民体质监测。</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（四）</w:t>
      </w:r>
      <w:r>
        <w:rPr>
          <w:rFonts w:hint="eastAsia" w:ascii="仿宋_GB2312" w:hAnsi="宋体" w:eastAsia="仿宋_GB2312" w:cs="仿宋_GB2312"/>
          <w:sz w:val="32"/>
          <w:szCs w:val="32"/>
        </w:rPr>
        <w:t>统筹规划竞技体育发展，研究和平衡全市性体育竞赛，竞技运动项目设置与重点布局，组织开展反兴奋剂工作。</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（五）</w:t>
      </w:r>
      <w:r>
        <w:rPr>
          <w:rFonts w:hint="eastAsia" w:ascii="仿宋_GB2312" w:hAnsi="宋体" w:eastAsia="仿宋_GB2312" w:cs="仿宋_GB2312"/>
          <w:sz w:val="32"/>
          <w:szCs w:val="32"/>
        </w:rPr>
        <w:t>指导和管理对外体育交往，开展国际间和香港、澳门特别行政区及台湾地区的体育合作与交流。</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（六）</w:t>
      </w:r>
      <w:r>
        <w:rPr>
          <w:rFonts w:hint="eastAsia" w:ascii="仿宋_GB2312" w:hAnsi="宋体" w:eastAsia="仿宋_GB2312" w:cs="仿宋_GB2312"/>
          <w:sz w:val="32"/>
          <w:szCs w:val="32"/>
        </w:rPr>
        <w:t>组织体育领域的重大科技研究的攻关和成果推广。</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（七）</w:t>
      </w:r>
      <w:r>
        <w:rPr>
          <w:rFonts w:hint="eastAsia" w:ascii="仿宋_GB2312" w:hAnsi="宋体" w:eastAsia="仿宋_GB2312" w:cs="仿宋_GB2312"/>
          <w:sz w:val="32"/>
          <w:szCs w:val="32"/>
        </w:rPr>
        <w:t>严格执行体育产业政策，负责体育经营活动从业资格的审批，依法管理体育市场。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（八）</w:t>
      </w:r>
      <w:r>
        <w:rPr>
          <w:rFonts w:hint="eastAsia" w:ascii="仿宋_GB2312" w:hAnsi="宋体" w:eastAsia="仿宋_GB2312" w:cs="仿宋_GB2312"/>
          <w:sz w:val="32"/>
          <w:szCs w:val="32"/>
        </w:rPr>
        <w:t>负责健身气功的管理。</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（九）</w:t>
      </w:r>
      <w:r>
        <w:rPr>
          <w:rFonts w:hint="eastAsia" w:ascii="仿宋_GB2312" w:hAnsi="宋体" w:eastAsia="仿宋_GB2312" w:cs="仿宋_GB2312"/>
          <w:sz w:val="32"/>
          <w:szCs w:val="32"/>
        </w:rPr>
        <w:t>负责全市性体育社团的资格审查。</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承办市政府交办的其他事项。　　</w:t>
      </w:r>
    </w:p>
    <w:p>
      <w:pPr>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lang w:eastAsia="zh-CN"/>
        </w:rPr>
        <w:t>景德镇市体育</w:t>
      </w:r>
      <w:r>
        <w:rPr>
          <w:rFonts w:hint="eastAsia" w:ascii="仿宋_GB2312" w:hAnsi="宋体" w:eastAsia="仿宋_GB2312" w:cs="仿宋_GB2312"/>
          <w:sz w:val="32"/>
          <w:szCs w:val="32"/>
        </w:rPr>
        <w:t>局共有预算单位</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个，包括局本级和所属</w:t>
      </w:r>
      <w:r>
        <w:rPr>
          <w:rFonts w:hint="eastAsia" w:ascii="仿宋_GB2312" w:hAnsi="宋体" w:eastAsia="仿宋_GB2312" w:cs="仿宋_GB2312"/>
          <w:sz w:val="32"/>
          <w:szCs w:val="32"/>
          <w:lang w:val="en-US" w:eastAsia="zh-CN"/>
        </w:rPr>
        <w:t>8个</w:t>
      </w:r>
      <w:r>
        <w:rPr>
          <w:rFonts w:hint="eastAsia" w:ascii="仿宋_GB2312" w:hAnsi="宋体" w:eastAsia="仿宋_GB2312" w:cs="仿宋_GB2312"/>
          <w:sz w:val="32"/>
          <w:szCs w:val="32"/>
        </w:rPr>
        <w:t>二级预算单位。编制数为</w:t>
      </w:r>
      <w:r>
        <w:rPr>
          <w:rFonts w:hint="eastAsia" w:ascii="仿宋_GB2312" w:hAnsi="宋体" w:eastAsia="仿宋_GB2312" w:cs="仿宋_GB2312"/>
          <w:sz w:val="32"/>
          <w:szCs w:val="32"/>
          <w:lang w:val="en-US" w:eastAsia="zh-CN"/>
        </w:rPr>
        <w:t>158</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113</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30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194</w:t>
      </w:r>
      <w:r>
        <w:rPr>
          <w:rFonts w:hint="eastAsia" w:ascii="仿宋_GB2312" w:hAnsi="宋体" w:eastAsia="仿宋_GB2312" w:cs="仿宋_GB2312"/>
          <w:sz w:val="32"/>
          <w:szCs w:val="32"/>
        </w:rPr>
        <w:t>人，其中在职</w:t>
      </w:r>
      <w:r>
        <w:rPr>
          <w:rFonts w:hint="eastAsia" w:ascii="仿宋_GB2312" w:hAnsi="宋体" w:eastAsia="仿宋_GB2312" w:cs="仿宋_GB2312"/>
          <w:sz w:val="32"/>
          <w:szCs w:val="32"/>
          <w:lang w:val="en-US" w:eastAsia="zh-CN"/>
        </w:rPr>
        <w:t>130</w:t>
      </w:r>
      <w:r>
        <w:rPr>
          <w:rFonts w:hint="eastAsia" w:ascii="仿宋_GB2312" w:hAnsi="宋体" w:eastAsia="仿宋_GB2312" w:cs="仿宋_GB2312"/>
          <w:sz w:val="32"/>
          <w:szCs w:val="32"/>
        </w:rPr>
        <w:t>人，包括行政</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人、全额补助</w:t>
      </w:r>
      <w:r>
        <w:rPr>
          <w:rFonts w:hint="eastAsia" w:ascii="仿宋_GB2312" w:hAnsi="宋体" w:eastAsia="仿宋_GB2312" w:cs="仿宋_GB2312"/>
          <w:sz w:val="32"/>
          <w:szCs w:val="32"/>
          <w:lang w:val="en-US" w:eastAsia="zh-CN"/>
        </w:rPr>
        <w:t>92</w:t>
      </w:r>
      <w:r>
        <w:rPr>
          <w:rFonts w:hint="eastAsia" w:ascii="仿宋_GB2312" w:hAnsi="宋体" w:eastAsia="仿宋_GB2312" w:cs="仿宋_GB2312"/>
          <w:sz w:val="32"/>
          <w:szCs w:val="32"/>
        </w:rPr>
        <w:t>人、部分补助</w:t>
      </w:r>
      <w:r>
        <w:rPr>
          <w:rFonts w:hint="eastAsia" w:ascii="仿宋_GB2312" w:hAnsi="宋体" w:eastAsia="仿宋_GB2312" w:cs="仿宋_GB2312"/>
          <w:sz w:val="32"/>
          <w:szCs w:val="32"/>
          <w:lang w:val="en-US" w:eastAsia="zh-CN"/>
        </w:rPr>
        <w:t>24</w:t>
      </w:r>
      <w:r>
        <w:rPr>
          <w:rFonts w:hint="eastAsia" w:ascii="仿宋_GB2312" w:hAnsi="宋体" w:eastAsia="仿宋_GB2312" w:cs="仿宋_GB2312"/>
          <w:sz w:val="32"/>
          <w:szCs w:val="32"/>
        </w:rPr>
        <w:t>人；离休</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人；退休</w:t>
      </w:r>
      <w:r>
        <w:rPr>
          <w:rFonts w:hint="eastAsia" w:ascii="仿宋_GB2312" w:hAnsi="宋体" w:eastAsia="仿宋_GB2312" w:cs="仿宋_GB2312"/>
          <w:sz w:val="32"/>
          <w:szCs w:val="32"/>
          <w:lang w:val="en-US" w:eastAsia="zh-CN"/>
        </w:rPr>
        <w:t>63</w:t>
      </w:r>
      <w:r>
        <w:rPr>
          <w:rFonts w:hint="eastAsia" w:ascii="仿宋_GB2312" w:hAnsi="宋体" w:eastAsia="仿宋_GB2312" w:cs="仿宋_GB2312"/>
          <w:sz w:val="32"/>
          <w:szCs w:val="32"/>
        </w:rPr>
        <w:t>人。</w:t>
      </w:r>
    </w:p>
    <w:p>
      <w:pPr>
        <w:pageBreakBefore w:val="0"/>
        <w:widowControl w:val="0"/>
        <w:kinsoku/>
        <w:wordWrap/>
        <w:overflowPunct/>
        <w:topLinePunct w:val="0"/>
        <w:autoSpaceDE/>
        <w:autoSpaceDN/>
        <w:bidi w:val="0"/>
        <w:adjustRightInd/>
        <w:snapToGrid/>
        <w:ind w:firstLine="640" w:firstLineChars="200"/>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eastAsia="zh-CN"/>
        </w:rPr>
        <w:t>景德镇市体育</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pageBreakBefore w:val="0"/>
        <w:widowControl w:val="0"/>
        <w:kinsoku/>
        <w:wordWrap/>
        <w:overflowPunct/>
        <w:topLinePunct w:val="0"/>
        <w:autoSpaceDE/>
        <w:autoSpaceDN/>
        <w:bidi w:val="0"/>
        <w:adjustRightInd/>
        <w:snapToGrid/>
        <w:ind w:firstLine="643" w:firstLineChars="200"/>
        <w:jc w:val="left"/>
        <w:textAlignment w:val="auto"/>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（一）收入预算情况</w:t>
      </w:r>
    </w:p>
    <w:p>
      <w:pPr>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年收入预算总额</w:t>
      </w:r>
      <w:r>
        <w:rPr>
          <w:rFonts w:hint="eastAsia" w:ascii="仿宋_GB2312" w:hAnsi="宋体" w:eastAsia="仿宋_GB2312" w:cs="仿宋_GB2312"/>
          <w:sz w:val="32"/>
          <w:szCs w:val="32"/>
          <w:lang w:val="en-US" w:eastAsia="zh-CN"/>
        </w:rPr>
        <w:t>6716.20</w:t>
      </w:r>
      <w:r>
        <w:rPr>
          <w:rFonts w:hint="eastAsia" w:ascii="仿宋_GB2312" w:hAnsi="宋体" w:eastAsia="仿宋_GB2312" w:cs="仿宋_GB2312"/>
          <w:sz w:val="32"/>
          <w:szCs w:val="32"/>
        </w:rPr>
        <w:t>万元，按照收入来源划分：</w:t>
      </w:r>
    </w:p>
    <w:p>
      <w:pPr>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当年公共财政拨款收入</w:t>
      </w:r>
      <w:r>
        <w:rPr>
          <w:rFonts w:hint="eastAsia" w:ascii="仿宋_GB2312" w:hAnsi="宋体" w:eastAsia="仿宋_GB2312" w:cs="仿宋_GB2312"/>
          <w:sz w:val="32"/>
          <w:szCs w:val="32"/>
          <w:lang w:val="en-US" w:eastAsia="zh-CN"/>
        </w:rPr>
        <w:t>2574.42</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38.33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 xml:space="preserve">  </w:t>
      </w:r>
    </w:p>
    <w:p>
      <w:pPr>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事业收入</w:t>
      </w:r>
      <w:r>
        <w:rPr>
          <w:rFonts w:hint="eastAsia" w:ascii="仿宋_GB2312" w:hAnsi="宋体" w:eastAsia="仿宋_GB2312" w:cs="仿宋_GB2312"/>
          <w:sz w:val="32"/>
          <w:szCs w:val="32"/>
          <w:lang w:val="en-US" w:eastAsia="zh-CN"/>
        </w:rPr>
        <w:t>25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0.37</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当年其他各项收入</w:t>
      </w:r>
      <w:r>
        <w:rPr>
          <w:rFonts w:hint="eastAsia" w:ascii="仿宋_GB2312" w:hAnsi="宋体" w:eastAsia="仿宋_GB2312" w:cs="仿宋_GB2312"/>
          <w:sz w:val="32"/>
          <w:szCs w:val="32"/>
          <w:lang w:val="en-US" w:eastAsia="zh-CN"/>
        </w:rPr>
        <w:t>557.06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8.29</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ascii="仿宋_GB2312" w:eastAsia="仿宋_GB2312" w:cs="Times New Roman"/>
          <w:sz w:val="32"/>
          <w:szCs w:val="32"/>
        </w:rPr>
      </w:pPr>
      <w:r>
        <w:rPr>
          <w:rFonts w:hint="eastAsia" w:ascii="仿宋_GB2312" w:hAnsi="宋体" w:eastAsia="仿宋_GB2312" w:cs="仿宋_GB2312"/>
          <w:sz w:val="32"/>
          <w:szCs w:val="32"/>
          <w:lang w:val="en-US" w:eastAsia="zh-CN"/>
        </w:rPr>
        <w:t>4</w:t>
      </w:r>
      <w:bookmarkStart w:id="0" w:name="_GoBack"/>
      <w:bookmarkEnd w:id="0"/>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rPr>
        <w:t>上年结转</w:t>
      </w:r>
      <w:r>
        <w:rPr>
          <w:rFonts w:hint="eastAsia" w:ascii="仿宋_GB2312" w:hAnsi="宋体" w:eastAsia="仿宋_GB2312" w:cs="仿宋_GB2312"/>
          <w:sz w:val="32"/>
          <w:szCs w:val="32"/>
          <w:lang w:val="en-US" w:eastAsia="zh-CN"/>
        </w:rPr>
        <w:t>3559.72</w:t>
      </w:r>
      <w:r>
        <w:rPr>
          <w:rFonts w:hint="eastAsia" w:ascii="仿宋_GB2312" w:hAnsi="宋体" w:eastAsia="仿宋_GB2312" w:cs="仿宋_GB2312"/>
          <w:sz w:val="32"/>
          <w:szCs w:val="32"/>
        </w:rPr>
        <w:t>万元，占收入预算总额</w:t>
      </w:r>
      <w:r>
        <w:rPr>
          <w:rFonts w:hint="eastAsia" w:ascii="仿宋_GB2312" w:hAnsi="宋体" w:eastAsia="仿宋_GB2312" w:cs="仿宋_GB2312"/>
          <w:sz w:val="32"/>
          <w:szCs w:val="32"/>
          <w:lang w:val="en-US" w:eastAsia="zh-CN"/>
        </w:rPr>
        <w:t>53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pageBreakBefore w:val="0"/>
        <w:widowControl w:val="0"/>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年支出预算总额为</w:t>
      </w:r>
      <w:r>
        <w:rPr>
          <w:rFonts w:hint="eastAsia" w:ascii="仿宋_GB2312" w:hAnsi="宋体" w:eastAsia="仿宋_GB2312" w:cs="仿宋_GB2312"/>
          <w:sz w:val="32"/>
          <w:szCs w:val="32"/>
          <w:lang w:val="en-US" w:eastAsia="zh-CN"/>
        </w:rPr>
        <w:t>6716.20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其中：</w:t>
      </w:r>
      <w:r>
        <w:rPr>
          <w:rFonts w:hint="eastAsia" w:ascii="仿宋_GB2312" w:hAnsi="宋体" w:eastAsia="仿宋_GB2312" w:cs="仿宋_GB2312"/>
          <w:sz w:val="32"/>
          <w:szCs w:val="32"/>
        </w:rPr>
        <w:t>按支出项目类别划分：基本支出</w:t>
      </w:r>
      <w:r>
        <w:rPr>
          <w:rFonts w:hint="eastAsia" w:ascii="仿宋_GB2312" w:hAnsi="宋体" w:eastAsia="仿宋_GB2312" w:cs="仿宋_GB2312"/>
          <w:sz w:val="32"/>
          <w:szCs w:val="32"/>
          <w:lang w:val="en-US" w:eastAsia="zh-CN"/>
        </w:rPr>
        <w:t>3480.09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51.82</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；包括</w:t>
      </w:r>
      <w:r>
        <w:rPr>
          <w:rFonts w:hint="eastAsia" w:ascii="仿宋_GB2312" w:hAnsi="宋体" w:eastAsia="仿宋_GB2312" w:cs="仿宋_GB2312"/>
          <w:sz w:val="32"/>
          <w:szCs w:val="32"/>
        </w:rPr>
        <w:t>工资福利支出</w:t>
      </w:r>
      <w:r>
        <w:rPr>
          <w:rFonts w:hint="eastAsia" w:ascii="仿宋_GB2312" w:hAnsi="宋体" w:eastAsia="仿宋_GB2312" w:cs="仿宋_GB2312"/>
          <w:sz w:val="32"/>
          <w:szCs w:val="32"/>
          <w:lang w:val="en-US" w:eastAsia="zh-CN"/>
        </w:rPr>
        <w:t>1169.59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1895.25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63.25</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352</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3236.11</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48.18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包括</w:t>
      </w:r>
      <w:r>
        <w:rPr>
          <w:rFonts w:hint="eastAsia" w:ascii="仿宋_GB2312" w:hAnsi="宋体" w:eastAsia="仿宋_GB2312" w:cs="仿宋_GB2312"/>
          <w:sz w:val="32"/>
          <w:szCs w:val="32"/>
        </w:rPr>
        <w:t>工资福利支出</w:t>
      </w:r>
      <w:r>
        <w:rPr>
          <w:rFonts w:hint="eastAsia" w:ascii="仿宋_GB2312" w:hAnsi="宋体" w:eastAsia="仿宋_GB2312" w:cs="仿宋_GB2312"/>
          <w:sz w:val="32"/>
          <w:szCs w:val="32"/>
          <w:lang w:val="en-US" w:eastAsia="zh-CN"/>
        </w:rPr>
        <w:t>84</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2706.11</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120</w:t>
      </w:r>
      <w:r>
        <w:rPr>
          <w:rFonts w:hint="eastAsia" w:ascii="仿宋_GB2312" w:hAnsi="宋体" w:eastAsia="仿宋_GB2312" w:cs="仿宋_GB2312"/>
          <w:sz w:val="32"/>
          <w:szCs w:val="32"/>
        </w:rPr>
        <w:t>万元、资本性支出</w:t>
      </w:r>
      <w:r>
        <w:rPr>
          <w:rFonts w:hint="eastAsia" w:ascii="仿宋_GB2312" w:hAnsi="宋体" w:eastAsia="仿宋_GB2312" w:cs="仿宋_GB2312"/>
          <w:sz w:val="32"/>
          <w:szCs w:val="32"/>
          <w:lang w:val="en-US" w:eastAsia="zh-CN"/>
        </w:rPr>
        <w:t>26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，其他支出</w:t>
      </w:r>
      <w:r>
        <w:rPr>
          <w:rFonts w:hint="eastAsia" w:ascii="仿宋_GB2312" w:hAnsi="宋体" w:eastAsia="仿宋_GB2312" w:cs="仿宋_GB2312"/>
          <w:sz w:val="32"/>
          <w:szCs w:val="32"/>
          <w:lang w:val="en-US" w:eastAsia="zh-CN"/>
        </w:rPr>
        <w:t>300万元。</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按支出功能项目科目划分：教育支出1121.92万元，占支出预算总额16.7%；文化旅游体育与传媒支出2582.69万元，占支出预算总额38.45%；社会保障和就业支出145.57万元，占支出预算总额2.17%；卫生健康支出94.76万元，占支出预算总额1.41%；住房保障支出85.61万元，占支出预算总额1.27%；其他支出2685.65万元，占支出预算总额39.99%。</w:t>
      </w:r>
    </w:p>
    <w:p>
      <w:pPr>
        <w:pageBreakBefore w:val="0"/>
        <w:widowControl w:val="0"/>
        <w:numPr>
          <w:ilvl w:val="0"/>
          <w:numId w:val="2"/>
        </w:numPr>
        <w:kinsoku/>
        <w:wordWrap/>
        <w:overflowPunct/>
        <w:topLinePunct w:val="0"/>
        <w:autoSpaceDE/>
        <w:autoSpaceDN/>
        <w:bidi w:val="0"/>
        <w:adjustRightInd/>
        <w:snapToGrid/>
        <w:ind w:firstLine="643" w:firstLineChars="200"/>
        <w:textAlignment w:val="auto"/>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经费拨款支出情况</w:t>
      </w:r>
    </w:p>
    <w:p>
      <w:pPr>
        <w:pageBreakBefore w:val="0"/>
        <w:widowControl w:val="0"/>
        <w:numPr>
          <w:ilvl w:val="0"/>
          <w:numId w:val="0"/>
        </w:numPr>
        <w:kinsoku/>
        <w:wordWrap/>
        <w:overflowPunct/>
        <w:topLinePunct w:val="0"/>
        <w:autoSpaceDE/>
        <w:autoSpaceDN/>
        <w:bidi w:val="0"/>
        <w:adjustRightInd/>
        <w:snapToGrid/>
        <w:ind w:firstLine="641"/>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2019年体育局经费拨款支出预算1884.42万元，占支出预算总额的28%，与上年预算相比增加305.68万元，主要原因：2019新增体育场馆运行专项经费300万元。具体支出情况是：教育支出426万元，占经费拨款支出的22.60%；文化旅游体育与传媒支出1134.41万元，占经费拨款支出的60.2%；社会保障和就业支出143.72万元，占经费拨款支出的7.63%；卫生健康支出94.76万元，占经费拨款支出的5.03%；住房保障支出85.53万元，占经费拨款支出的4.54%。</w:t>
      </w:r>
    </w:p>
    <w:p>
      <w:pPr>
        <w:pageBreakBefore w:val="0"/>
        <w:widowControl w:val="0"/>
        <w:numPr>
          <w:ilvl w:val="0"/>
          <w:numId w:val="0"/>
        </w:numPr>
        <w:kinsoku/>
        <w:wordWrap/>
        <w:overflowPunct/>
        <w:topLinePunct w:val="0"/>
        <w:autoSpaceDE/>
        <w:autoSpaceDN/>
        <w:bidi w:val="0"/>
        <w:adjustRightInd/>
        <w:snapToGrid/>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（四）</w:t>
      </w:r>
      <w:r>
        <w:rPr>
          <w:rFonts w:hint="eastAsia" w:ascii="仿宋_GB2312" w:hAnsi="宋体" w:eastAsia="仿宋_GB2312" w:cs="仿宋_GB2312"/>
          <w:b/>
          <w:bCs/>
          <w:sz w:val="32"/>
          <w:szCs w:val="32"/>
        </w:rPr>
        <w:t>政府采购预算情况</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2019年政府采购预算为540万元，其中：部门集中采购540万元。</w:t>
      </w:r>
    </w:p>
    <w:p>
      <w:pPr>
        <w:pageBreakBefore w:val="0"/>
        <w:widowControl w:val="0"/>
        <w:tabs>
          <w:tab w:val="left" w:pos="1162"/>
        </w:tabs>
        <w:kinsoku/>
        <w:wordWrap/>
        <w:overflowPunct/>
        <w:topLinePunct w:val="0"/>
        <w:autoSpaceDE/>
        <w:autoSpaceDN/>
        <w:bidi w:val="0"/>
        <w:adjustRightInd/>
        <w:snapToGrid/>
        <w:ind w:firstLine="643" w:firstLineChars="200"/>
        <w:jc w:val="left"/>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五</w:t>
      </w:r>
      <w:r>
        <w:rPr>
          <w:rFonts w:hint="eastAsia" w:ascii="仿宋_GB2312" w:hAnsi="宋体" w:eastAsia="仿宋_GB2312" w:cs="仿宋_GB2312"/>
          <w:b/>
          <w:bCs/>
          <w:sz w:val="32"/>
          <w:szCs w:val="32"/>
        </w:rPr>
        <w:t>）政府基金收支情况</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rPr>
        <w:t>政府基金</w:t>
      </w:r>
      <w:r>
        <w:rPr>
          <w:rFonts w:hint="eastAsia" w:ascii="仿宋_GB2312" w:hAnsi="宋体" w:eastAsia="仿宋_GB2312" w:cs="仿宋_GB2312"/>
          <w:sz w:val="32"/>
          <w:szCs w:val="32"/>
          <w:lang w:eastAsia="zh-CN"/>
        </w:rPr>
        <w:t>收入预算安排</w:t>
      </w:r>
      <w:r>
        <w:rPr>
          <w:rFonts w:hint="eastAsia" w:ascii="仿宋_GB2312" w:hAnsi="宋体" w:eastAsia="仿宋_GB2312" w:cs="仿宋_GB2312"/>
          <w:sz w:val="32"/>
          <w:szCs w:val="32"/>
          <w:lang w:val="en-US" w:eastAsia="zh-CN"/>
        </w:rPr>
        <w:t>690万元，较上年增加10万元，主要原因：体彩公益金收入增加；</w:t>
      </w:r>
      <w:r>
        <w:rPr>
          <w:rFonts w:hint="eastAsia" w:ascii="仿宋_GB2312" w:hAnsi="宋体" w:eastAsia="仿宋_GB2312" w:cs="仿宋_GB2312"/>
          <w:sz w:val="32"/>
          <w:szCs w:val="32"/>
        </w:rPr>
        <w:t>政府基金</w:t>
      </w:r>
      <w:r>
        <w:rPr>
          <w:rFonts w:hint="eastAsia" w:ascii="仿宋_GB2312" w:hAnsi="宋体" w:eastAsia="仿宋_GB2312" w:cs="仿宋_GB2312"/>
          <w:sz w:val="32"/>
          <w:szCs w:val="32"/>
          <w:lang w:val="en-US" w:eastAsia="zh-CN"/>
        </w:rPr>
        <w:t>支出预算690万元，其中：项目支出690万元。</w:t>
      </w:r>
    </w:p>
    <w:p>
      <w:pPr>
        <w:numPr>
          <w:ilvl w:val="0"/>
          <w:numId w:val="0"/>
        </w:numPr>
        <w:ind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rPr>
        <w:t>机关运行经费安排情况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年安排机关运行经费</w:t>
      </w:r>
      <w:r>
        <w:rPr>
          <w:rFonts w:hint="eastAsia" w:ascii="仿宋_GB2312" w:hAnsi="宋体" w:eastAsia="仿宋_GB2312" w:cs="仿宋_GB2312"/>
          <w:sz w:val="32"/>
          <w:szCs w:val="32"/>
          <w:lang w:val="en-US" w:eastAsia="zh-CN"/>
        </w:rPr>
        <w:t>94.5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，较上年减少</w:t>
      </w:r>
      <w:r>
        <w:rPr>
          <w:rFonts w:hint="eastAsia" w:ascii="仿宋_GB2312" w:hAnsi="宋体" w:eastAsia="仿宋_GB2312" w:cs="仿宋_GB2312"/>
          <w:sz w:val="32"/>
          <w:szCs w:val="32"/>
          <w:lang w:val="en-US" w:eastAsia="zh-CN"/>
        </w:rPr>
        <w:t>0.53万元，主要原因：厉行节约公用经费。</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pageBreakBefore w:val="0"/>
        <w:widowControl w:val="0"/>
        <w:tabs>
          <w:tab w:val="left" w:pos="1162"/>
        </w:tabs>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局“三公”经费年初预算安排</w:t>
      </w:r>
      <w:r>
        <w:rPr>
          <w:rFonts w:hint="eastAsia" w:ascii="仿宋_GB2312" w:hAnsi="宋体" w:eastAsia="仿宋_GB2312" w:cs="仿宋_GB2312"/>
          <w:sz w:val="32"/>
          <w:szCs w:val="32"/>
          <w:lang w:val="en-US" w:eastAsia="zh-CN"/>
        </w:rPr>
        <w:t>27.8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其中：公务接待费27.8万元，较上年增加1.81万元，</w:t>
      </w:r>
      <w:r>
        <w:rPr>
          <w:rFonts w:hint="eastAsia" w:ascii="仿宋_GB2312" w:hAnsi="宋体" w:eastAsia="仿宋_GB2312" w:cs="仿宋_GB2312"/>
          <w:sz w:val="32"/>
          <w:szCs w:val="32"/>
        </w:rPr>
        <w:t>主要原因</w:t>
      </w:r>
      <w:r>
        <w:rPr>
          <w:rFonts w:hint="eastAsia" w:ascii="仿宋_GB2312" w:hAnsi="宋体" w:eastAsia="仿宋_GB2312" w:cs="仿宋_GB2312"/>
          <w:sz w:val="32"/>
          <w:szCs w:val="32"/>
          <w:lang w:eastAsia="zh-CN"/>
        </w:rPr>
        <w:t>：结合上年实际情况增加公务接待费</w:t>
      </w:r>
      <w:r>
        <w:rPr>
          <w:rFonts w:hint="eastAsia" w:ascii="仿宋_GB2312" w:hAnsi="宋体" w:eastAsia="仿宋_GB2312" w:cs="仿宋_GB2312"/>
          <w:sz w:val="32"/>
          <w:szCs w:val="32"/>
          <w:lang w:val="en-US" w:eastAsia="zh-CN"/>
        </w:rPr>
        <w:t>1.81万元。</w:t>
      </w:r>
    </w:p>
    <w:p>
      <w:pPr>
        <w:pageBreakBefore w:val="0"/>
        <w:widowControl w:val="0"/>
        <w:kinsoku/>
        <w:wordWrap/>
        <w:overflowPunct/>
        <w:topLinePunct w:val="0"/>
        <w:autoSpaceDE/>
        <w:autoSpaceDN/>
        <w:bidi w:val="0"/>
        <w:adjustRightInd/>
        <w:snapToGrid/>
        <w:ind w:firstLine="640" w:firstLineChars="200"/>
        <w:jc w:val="center"/>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景德镇市体育</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附件：</w:t>
      </w:r>
      <w:r>
        <w:rPr>
          <w:rFonts w:hint="eastAsia" w:ascii="仿宋_GB2312" w:hAnsi="宋体" w:eastAsia="仿宋_GB2312" w:cs="仿宋_GB2312"/>
          <w:sz w:val="32"/>
          <w:szCs w:val="32"/>
          <w:lang w:val="en-US" w:eastAsia="zh-CN"/>
        </w:rPr>
        <w:t>1.收支预算总表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2.部门收入总表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3.部门支出总表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4.财政拨款收支总表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5.一般公共预算支出表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6.一般公共预算基本支出表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7.一般公共预算“三公”经费支出表</w:t>
      </w:r>
    </w:p>
    <w:p>
      <w:pPr>
        <w:pageBreakBefore w:val="0"/>
        <w:widowControl w:val="0"/>
        <w:numPr>
          <w:ilvl w:val="0"/>
          <w:numId w:val="0"/>
        </w:numPr>
        <w:kinsoku/>
        <w:wordWrap/>
        <w:overflowPunct/>
        <w:topLinePunct w:val="0"/>
        <w:autoSpaceDE/>
        <w:autoSpaceDN/>
        <w:bidi w:val="0"/>
        <w:adjustRightInd/>
        <w:snapToGrid/>
        <w:ind w:firstLine="1600" w:firstLineChars="5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8.政府性基金预算支出表</w:t>
      </w:r>
    </w:p>
    <w:p>
      <w:pPr>
        <w:pageBreakBefore w:val="0"/>
        <w:widowControl w:val="0"/>
        <w:kinsoku/>
        <w:wordWrap/>
        <w:overflowPunct/>
        <w:topLinePunct w:val="0"/>
        <w:autoSpaceDE/>
        <w:autoSpaceDN/>
        <w:bidi w:val="0"/>
        <w:adjustRightInd/>
        <w:snapToGrid/>
        <w:ind w:firstLine="640" w:firstLineChars="200"/>
        <w:jc w:val="center"/>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年政府收支分类科目》的规范说明进行解释。</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（款）行政运行（项）：指</w:t>
      </w:r>
      <w:r>
        <w:rPr>
          <w:rFonts w:hint="eastAsia" w:ascii="仿宋_GB2312" w:hAnsi="宋体" w:eastAsia="仿宋_GB2312" w:cs="仿宋_GB2312"/>
          <w:sz w:val="32"/>
          <w:szCs w:val="32"/>
          <w:lang w:eastAsia="zh-CN"/>
        </w:rPr>
        <w:t>行政单位（包括实行公务员管理的事业单位）的基本支出</w:t>
      </w:r>
      <w:r>
        <w:rPr>
          <w:rFonts w:hint="eastAsia" w:ascii="仿宋_GB2312" w:hAnsi="宋体" w:eastAsia="仿宋_GB2312" w:cs="仿宋_GB2312"/>
          <w:sz w:val="32"/>
          <w:szCs w:val="32"/>
        </w:rPr>
        <w:t>。</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一般行政管理事务</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：反映行政单位（包括实行公务员管理的事业单位）未单独设置项级科目的其他项目支出。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运动项目管理</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：反映各项目运动管理中心和运动学校等单位的日常管理支出。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体育竞赛</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：反映综合性运动会及单项体育比赛支出。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体育训练</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：反映各级体育运动队训练补助及器材购置等方面的支出。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群众体育</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：反映业余体校和全民健身等群众体育活动方面的支出。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lang w:eastAsia="zh-CN"/>
        </w:rPr>
        <w:t>文化体育与传媒</w:t>
      </w:r>
      <w:r>
        <w:rPr>
          <w:rFonts w:hint="eastAsia" w:ascii="仿宋_GB2312" w:hAnsi="宋体" w:eastAsia="仿宋_GB2312" w:cs="仿宋_GB2312"/>
          <w:sz w:val="32"/>
          <w:szCs w:val="32"/>
        </w:rPr>
        <w:t>（类）</w:t>
      </w:r>
      <w:r>
        <w:rPr>
          <w:rFonts w:hint="eastAsia" w:ascii="仿宋_GB2312" w:hAnsi="宋体" w:eastAsia="仿宋_GB2312" w:cs="仿宋_GB2312"/>
          <w:sz w:val="32"/>
          <w:szCs w:val="32"/>
          <w:lang w:eastAsia="zh-CN"/>
        </w:rPr>
        <w:t>体育</w:t>
      </w:r>
      <w:r>
        <w:rPr>
          <w:rFonts w:hint="eastAsia" w:ascii="仿宋_GB2312" w:hAnsi="宋体" w:eastAsia="仿宋_GB2312" w:cs="仿宋_GB2312"/>
          <w:sz w:val="32"/>
          <w:szCs w:val="32"/>
        </w:rPr>
        <w:t>（款）</w:t>
      </w:r>
      <w:r>
        <w:rPr>
          <w:rFonts w:hint="eastAsia" w:ascii="仿宋_GB2312" w:hAnsi="宋体" w:eastAsia="仿宋_GB2312" w:cs="仿宋_GB2312"/>
          <w:sz w:val="32"/>
          <w:szCs w:val="32"/>
          <w:lang w:eastAsia="zh-CN"/>
        </w:rPr>
        <w:t>其他体育支出</w:t>
      </w:r>
      <w:r>
        <w:rPr>
          <w:rFonts w:hint="eastAsia" w:ascii="仿宋_GB2312" w:hAnsi="宋体" w:eastAsia="仿宋_GB2312" w:cs="仿宋_GB2312"/>
          <w:sz w:val="32"/>
          <w:szCs w:val="32"/>
        </w:rPr>
        <w:t>（项）</w:t>
      </w:r>
      <w:r>
        <w:rPr>
          <w:rFonts w:hint="eastAsia" w:ascii="仿宋_GB2312" w:hAnsi="宋体" w:eastAsia="仿宋_GB2312" w:cs="仿宋_GB2312"/>
          <w:sz w:val="32"/>
          <w:szCs w:val="32"/>
          <w:lang w:eastAsia="zh-CN"/>
        </w:rPr>
        <w:t>：反映除上述项目以外其他用于体育方面的支出。</w:t>
      </w:r>
    </w:p>
    <w:p>
      <w:pPr>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8、社会保障和就业支出（类）行政事业单位离退休（款）机关事业单位基本养老保险缴费支出：反映机关事业单位实施养老保险制度由单位缴纳的基本养老保险费支出。</w:t>
      </w:r>
    </w:p>
    <w:p>
      <w:pPr>
        <w:pStyle w:val="2"/>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Times New Roman"/>
          <w:b w:val="0"/>
          <w:bCs w:val="0"/>
          <w:lang w:eastAsia="zh-CN"/>
        </w:rPr>
      </w:pPr>
      <w:r>
        <w:rPr>
          <w:rFonts w:hint="eastAsia" w:ascii="仿宋_GB2312" w:hAnsi="宋体" w:eastAsia="仿宋_GB2312" w:cs="Times New Roman"/>
          <w:b w:val="0"/>
          <w:bCs w:val="0"/>
          <w:lang w:val="en-US" w:eastAsia="zh-CN"/>
        </w:rPr>
        <w:t>9、</w:t>
      </w:r>
      <w:r>
        <w:rPr>
          <w:rFonts w:hint="eastAsia" w:ascii="仿宋_GB2312" w:hAnsi="宋体" w:eastAsia="仿宋_GB2312" w:cs="Times New Roman"/>
          <w:b w:val="0"/>
          <w:bCs w:val="0"/>
          <w:lang w:eastAsia="zh-CN"/>
        </w:rPr>
        <w:t>住房保障支出（类）住房改革支出（款）住房公积金：反映事业单位按人力资源和社会保障部、财政部规定的基本工资和津贴以及规定比例为职工缴纳的住房公积金。</w:t>
      </w:r>
    </w:p>
    <w:p>
      <w:pPr>
        <w:pStyle w:val="2"/>
        <w:pageBreakBefore w:val="0"/>
        <w:widowControl w:val="0"/>
        <w:kinsoku/>
        <w:wordWrap/>
        <w:overflowPunct/>
        <w:topLinePunct w:val="0"/>
        <w:autoSpaceDE/>
        <w:autoSpaceDN/>
        <w:bidi w:val="0"/>
        <w:adjustRightInd/>
        <w:snapToGrid/>
        <w:ind w:firstLine="643" w:firstLineChars="200"/>
        <w:textAlignment w:val="auto"/>
        <w:rPr>
          <w:rFonts w:ascii="仿宋_GB2312" w:hAnsi="宋体" w:eastAsia="仿宋_GB2312" w:cs="Times New Roman"/>
        </w:rPr>
      </w:pPr>
    </w:p>
    <w:p>
      <w:pPr>
        <w:pStyle w:val="2"/>
        <w:pageBreakBefore w:val="0"/>
        <w:widowControl w:val="0"/>
        <w:kinsoku/>
        <w:wordWrap/>
        <w:overflowPunct/>
        <w:topLinePunct w:val="0"/>
        <w:autoSpaceDE/>
        <w:autoSpaceDN/>
        <w:bidi w:val="0"/>
        <w:adjustRightInd/>
        <w:snapToGrid/>
        <w:ind w:firstLine="643" w:firstLineChars="200"/>
        <w:textAlignment w:val="auto"/>
        <w:rPr>
          <w:rFonts w:ascii="仿宋_GB2312" w:hAnsi="宋体" w:eastAsia="仿宋_GB2312" w:cs="Times New Roman"/>
        </w:rPr>
      </w:pP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p>
    <w:p>
      <w:pPr>
        <w:pageBreakBefore w:val="0"/>
        <w:widowControl w:val="0"/>
        <w:kinsoku/>
        <w:wordWrap/>
        <w:overflowPunct/>
        <w:topLinePunct w:val="0"/>
        <w:autoSpaceDE/>
        <w:autoSpaceDN/>
        <w:bidi w:val="0"/>
        <w:adjustRightInd/>
        <w:snapToGrid/>
        <w:ind w:firstLine="640" w:firstLineChars="200"/>
        <w:textAlignment w:val="auto"/>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6DFD21"/>
    <w:multiLevelType w:val="singleLevel"/>
    <w:tmpl w:val="806DFD21"/>
    <w:lvl w:ilvl="0" w:tentative="0">
      <w:start w:val="3"/>
      <w:numFmt w:val="chineseCounting"/>
      <w:suff w:val="nothing"/>
      <w:lvlText w:val="（%1）"/>
      <w:lvlJc w:val="left"/>
      <w:rPr>
        <w:rFonts w:hint="eastAsia"/>
      </w:rPr>
    </w:lvl>
  </w:abstractNum>
  <w:abstractNum w:abstractNumId="1">
    <w:nsid w:val="5A73C502"/>
    <w:multiLevelType w:val="singleLevel"/>
    <w:tmpl w:val="5A73C50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66060"/>
    <w:rsid w:val="000F14F5"/>
    <w:rsid w:val="008110CC"/>
    <w:rsid w:val="00C04C9A"/>
    <w:rsid w:val="00CB427A"/>
    <w:rsid w:val="00F500B9"/>
    <w:rsid w:val="02011633"/>
    <w:rsid w:val="0215426D"/>
    <w:rsid w:val="022502CD"/>
    <w:rsid w:val="03D6520D"/>
    <w:rsid w:val="042C546D"/>
    <w:rsid w:val="046947D9"/>
    <w:rsid w:val="05157E55"/>
    <w:rsid w:val="06D470CA"/>
    <w:rsid w:val="07812979"/>
    <w:rsid w:val="08EE0B31"/>
    <w:rsid w:val="0A684154"/>
    <w:rsid w:val="0CB044AE"/>
    <w:rsid w:val="0CC63EA8"/>
    <w:rsid w:val="0CDF41C3"/>
    <w:rsid w:val="0F0251D8"/>
    <w:rsid w:val="0F500A4C"/>
    <w:rsid w:val="0F5469B9"/>
    <w:rsid w:val="0FCB58D0"/>
    <w:rsid w:val="11075F72"/>
    <w:rsid w:val="11427CB1"/>
    <w:rsid w:val="11454C58"/>
    <w:rsid w:val="118503F4"/>
    <w:rsid w:val="120B7CFB"/>
    <w:rsid w:val="129741B5"/>
    <w:rsid w:val="13585682"/>
    <w:rsid w:val="13692EAB"/>
    <w:rsid w:val="139E3D52"/>
    <w:rsid w:val="149737B8"/>
    <w:rsid w:val="14F22596"/>
    <w:rsid w:val="15000B4F"/>
    <w:rsid w:val="16F34873"/>
    <w:rsid w:val="174469B9"/>
    <w:rsid w:val="17F56772"/>
    <w:rsid w:val="18AF2ACF"/>
    <w:rsid w:val="18F52C56"/>
    <w:rsid w:val="19076E1D"/>
    <w:rsid w:val="1AE23891"/>
    <w:rsid w:val="1B913916"/>
    <w:rsid w:val="1BB272C7"/>
    <w:rsid w:val="1C2639DE"/>
    <w:rsid w:val="1CA63E33"/>
    <w:rsid w:val="1D2F0D8C"/>
    <w:rsid w:val="1DCA17AA"/>
    <w:rsid w:val="1EBD751D"/>
    <w:rsid w:val="1ED81C5A"/>
    <w:rsid w:val="1F361D31"/>
    <w:rsid w:val="205B4410"/>
    <w:rsid w:val="21FF3BF2"/>
    <w:rsid w:val="22B32C74"/>
    <w:rsid w:val="22D1085E"/>
    <w:rsid w:val="230737C4"/>
    <w:rsid w:val="25911C8F"/>
    <w:rsid w:val="25A65ADF"/>
    <w:rsid w:val="25C00D36"/>
    <w:rsid w:val="25FC6C2E"/>
    <w:rsid w:val="26087612"/>
    <w:rsid w:val="26A84DB5"/>
    <w:rsid w:val="26BE2CE2"/>
    <w:rsid w:val="28046B2A"/>
    <w:rsid w:val="29730025"/>
    <w:rsid w:val="299D3AEC"/>
    <w:rsid w:val="29A44C57"/>
    <w:rsid w:val="2A465205"/>
    <w:rsid w:val="2B987DF3"/>
    <w:rsid w:val="2C254BFA"/>
    <w:rsid w:val="2DBB222D"/>
    <w:rsid w:val="2E072ABB"/>
    <w:rsid w:val="2E3D7B0D"/>
    <w:rsid w:val="2E8F6B8B"/>
    <w:rsid w:val="2EEF0715"/>
    <w:rsid w:val="2F1247C3"/>
    <w:rsid w:val="2FE42ECB"/>
    <w:rsid w:val="30F7187E"/>
    <w:rsid w:val="31567135"/>
    <w:rsid w:val="32955BCA"/>
    <w:rsid w:val="330A095E"/>
    <w:rsid w:val="33E97301"/>
    <w:rsid w:val="33F45B8D"/>
    <w:rsid w:val="34502C6A"/>
    <w:rsid w:val="34C26726"/>
    <w:rsid w:val="35214D06"/>
    <w:rsid w:val="3568481A"/>
    <w:rsid w:val="3656023B"/>
    <w:rsid w:val="37D90B6E"/>
    <w:rsid w:val="38D2177B"/>
    <w:rsid w:val="38F07A53"/>
    <w:rsid w:val="391A6DF6"/>
    <w:rsid w:val="39681B60"/>
    <w:rsid w:val="397403B4"/>
    <w:rsid w:val="39CE2774"/>
    <w:rsid w:val="3A013FC9"/>
    <w:rsid w:val="3AB7743C"/>
    <w:rsid w:val="3D88341C"/>
    <w:rsid w:val="3D94467B"/>
    <w:rsid w:val="3E063278"/>
    <w:rsid w:val="3E0E653C"/>
    <w:rsid w:val="3F1F634D"/>
    <w:rsid w:val="3FD24B42"/>
    <w:rsid w:val="410D5E5F"/>
    <w:rsid w:val="415522E9"/>
    <w:rsid w:val="416C1D4D"/>
    <w:rsid w:val="41ED4F50"/>
    <w:rsid w:val="424C5AE3"/>
    <w:rsid w:val="43AB3CC9"/>
    <w:rsid w:val="44532ED5"/>
    <w:rsid w:val="449238A9"/>
    <w:rsid w:val="44932327"/>
    <w:rsid w:val="44D22F5B"/>
    <w:rsid w:val="46B25F4A"/>
    <w:rsid w:val="46CB34E4"/>
    <w:rsid w:val="48BE100A"/>
    <w:rsid w:val="496A459F"/>
    <w:rsid w:val="4ACA268D"/>
    <w:rsid w:val="4BE9754F"/>
    <w:rsid w:val="4C775015"/>
    <w:rsid w:val="4D875A9E"/>
    <w:rsid w:val="4E001DDC"/>
    <w:rsid w:val="4F2E6B7E"/>
    <w:rsid w:val="51027CC7"/>
    <w:rsid w:val="51162B2F"/>
    <w:rsid w:val="51D64099"/>
    <w:rsid w:val="520509CF"/>
    <w:rsid w:val="530E34EE"/>
    <w:rsid w:val="53747103"/>
    <w:rsid w:val="53AF64D0"/>
    <w:rsid w:val="53B2322F"/>
    <w:rsid w:val="53D85100"/>
    <w:rsid w:val="53F1124C"/>
    <w:rsid w:val="53F94791"/>
    <w:rsid w:val="557B50A8"/>
    <w:rsid w:val="558A5E24"/>
    <w:rsid w:val="56126AD3"/>
    <w:rsid w:val="56A10AE0"/>
    <w:rsid w:val="57CC144D"/>
    <w:rsid w:val="586643FF"/>
    <w:rsid w:val="588B1139"/>
    <w:rsid w:val="58A216EB"/>
    <w:rsid w:val="593247CA"/>
    <w:rsid w:val="59C87C41"/>
    <w:rsid w:val="5A334D73"/>
    <w:rsid w:val="5A410893"/>
    <w:rsid w:val="5A8E013C"/>
    <w:rsid w:val="5AB824E6"/>
    <w:rsid w:val="5AC43447"/>
    <w:rsid w:val="5C3532CA"/>
    <w:rsid w:val="5C8F4BD6"/>
    <w:rsid w:val="5D334A6F"/>
    <w:rsid w:val="5D89592D"/>
    <w:rsid w:val="5DF94E8F"/>
    <w:rsid w:val="5E4D6811"/>
    <w:rsid w:val="5E803E8F"/>
    <w:rsid w:val="5F084C34"/>
    <w:rsid w:val="60761147"/>
    <w:rsid w:val="607F4851"/>
    <w:rsid w:val="61145E91"/>
    <w:rsid w:val="61206676"/>
    <w:rsid w:val="62B20F12"/>
    <w:rsid w:val="62F4311F"/>
    <w:rsid w:val="64C7438B"/>
    <w:rsid w:val="65C55907"/>
    <w:rsid w:val="66242522"/>
    <w:rsid w:val="662D3C12"/>
    <w:rsid w:val="665853E8"/>
    <w:rsid w:val="66DA49B1"/>
    <w:rsid w:val="677042DD"/>
    <w:rsid w:val="677F7B3B"/>
    <w:rsid w:val="67CA4F37"/>
    <w:rsid w:val="68433E5B"/>
    <w:rsid w:val="699E565B"/>
    <w:rsid w:val="6A8904A7"/>
    <w:rsid w:val="6B7B7826"/>
    <w:rsid w:val="6CC353AF"/>
    <w:rsid w:val="6CDA5076"/>
    <w:rsid w:val="6D63350C"/>
    <w:rsid w:val="6DA66ECD"/>
    <w:rsid w:val="6E1C2540"/>
    <w:rsid w:val="6E647B53"/>
    <w:rsid w:val="6E70795C"/>
    <w:rsid w:val="70377C5F"/>
    <w:rsid w:val="76256C68"/>
    <w:rsid w:val="77B547A7"/>
    <w:rsid w:val="78970BE8"/>
    <w:rsid w:val="7A323E3C"/>
    <w:rsid w:val="7A6E47AC"/>
    <w:rsid w:val="7AC92637"/>
    <w:rsid w:val="7B4102B0"/>
    <w:rsid w:val="7B5E4491"/>
    <w:rsid w:val="7B8A77B5"/>
    <w:rsid w:val="7BC21DA6"/>
    <w:rsid w:val="7E0A7F26"/>
    <w:rsid w:val="7E3F1A5B"/>
    <w:rsid w:val="7F690A0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styleId="6">
    <w:name w:val="FollowedHyperlink"/>
    <w:basedOn w:val="4"/>
    <w:unhideWhenUsed/>
    <w:qFormat/>
    <w:uiPriority w:val="99"/>
    <w:rPr>
      <w:color w:val="000000"/>
      <w:u w:val="none"/>
    </w:rPr>
  </w:style>
  <w:style w:type="character" w:styleId="7">
    <w:name w:val="Hyperlink"/>
    <w:basedOn w:val="4"/>
    <w:unhideWhenUsed/>
    <w:qFormat/>
    <w:uiPriority w:val="99"/>
    <w:rPr>
      <w:color w:val="000000"/>
      <w:u w:val="none"/>
    </w:rPr>
  </w:style>
  <w:style w:type="character" w:customStyle="1" w:styleId="9">
    <w:name w:val="Heading 2 Char"/>
    <w:basedOn w:val="4"/>
    <w:link w:val="2"/>
    <w:semiHidden/>
    <w:qFormat/>
    <w:uiPriority w:val="9"/>
    <w:rPr>
      <w:rFonts w:asciiTheme="majorHAnsi" w:hAnsiTheme="majorHAnsi" w:eastAsiaTheme="majorEastAsia" w:cstheme="majorBidi"/>
      <w:b/>
      <w:bCs/>
      <w:sz w:val="32"/>
      <w:szCs w:val="32"/>
    </w:rPr>
  </w:style>
  <w:style w:type="character" w:customStyle="1" w:styleId="10">
    <w:name w:val="Footer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50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颖 児</cp:lastModifiedBy>
  <dcterms:modified xsi:type="dcterms:W3CDTF">2019-02-26T03:08:07Z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